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9" w:type="dxa"/>
        <w:tblInd w:w="108" w:type="dxa"/>
        <w:tblLayout w:type="fixed"/>
        <w:tblLook w:val="0000" w:firstRow="0" w:lastRow="0" w:firstColumn="0" w:lastColumn="0" w:noHBand="0" w:noVBand="0"/>
      </w:tblPr>
      <w:tblGrid>
        <w:gridCol w:w="4757"/>
        <w:gridCol w:w="4572"/>
      </w:tblGrid>
      <w:tr w:rsidR="00B40DA7" w:rsidRPr="001F5050" w:rsidTr="00B40DA7">
        <w:trPr>
          <w:trHeight w:val="1377"/>
        </w:trPr>
        <w:tc>
          <w:tcPr>
            <w:tcW w:w="4757" w:type="dxa"/>
            <w:tcBorders>
              <w:top w:val="nil"/>
              <w:left w:val="nil"/>
              <w:bottom w:val="nil"/>
              <w:right w:val="nil"/>
            </w:tcBorders>
            <w:shd w:val="clear" w:color="000000" w:fill="FFFFFF"/>
          </w:tcPr>
          <w:p w:rsidR="00B40DA7" w:rsidRPr="00A413D6" w:rsidRDefault="00B40DA7" w:rsidP="00461152">
            <w:pPr>
              <w:autoSpaceDE w:val="0"/>
              <w:autoSpaceDN w:val="0"/>
              <w:adjustRightInd w:val="0"/>
              <w:spacing w:line="340" w:lineRule="atLeast"/>
              <w:jc w:val="center"/>
              <w:rPr>
                <w:b/>
                <w:sz w:val="24"/>
                <w:szCs w:val="24"/>
              </w:rPr>
            </w:pPr>
            <w:r w:rsidRPr="00A413D6">
              <w:rPr>
                <w:b/>
                <w:sz w:val="24"/>
                <w:szCs w:val="24"/>
              </w:rPr>
              <w:t>PHÒNG GD&amp;ĐT TX ĐÔNG TRIỀU</w:t>
            </w:r>
          </w:p>
          <w:p w:rsidR="00B40DA7" w:rsidRPr="00A413D6" w:rsidRDefault="00B40DA7" w:rsidP="00461152">
            <w:pPr>
              <w:autoSpaceDE w:val="0"/>
              <w:autoSpaceDN w:val="0"/>
              <w:adjustRightInd w:val="0"/>
              <w:spacing w:line="340" w:lineRule="atLeast"/>
              <w:jc w:val="center"/>
              <w:rPr>
                <w:b/>
                <w:bCs/>
                <w:sz w:val="24"/>
                <w:szCs w:val="24"/>
                <w:lang w:val="en-US"/>
              </w:rPr>
            </w:pPr>
            <w:r w:rsidRPr="00A413D6">
              <w:rPr>
                <w:b/>
                <w:bCs/>
                <w:sz w:val="24"/>
                <w:szCs w:val="24"/>
              </w:rPr>
              <w:t xml:space="preserve">TRƯỜNG THCS </w:t>
            </w:r>
            <w:r w:rsidR="005D415B" w:rsidRPr="00A413D6">
              <w:rPr>
                <w:b/>
                <w:bCs/>
                <w:sz w:val="24"/>
                <w:szCs w:val="24"/>
                <w:lang w:val="en-US"/>
              </w:rPr>
              <w:t>MẠO KHÊ 2</w:t>
            </w:r>
          </w:p>
          <w:p w:rsidR="00B40DA7" w:rsidRPr="00A413D6" w:rsidRDefault="00B40DA7" w:rsidP="00461152">
            <w:pPr>
              <w:autoSpaceDE w:val="0"/>
              <w:autoSpaceDN w:val="0"/>
              <w:adjustRightInd w:val="0"/>
              <w:spacing w:line="340" w:lineRule="atLeast"/>
              <w:jc w:val="center"/>
              <w:rPr>
                <w:rFonts w:ascii="Calibri" w:hAnsi="Calibri" w:cs="Calibri"/>
                <w:b/>
                <w:sz w:val="24"/>
                <w:szCs w:val="24"/>
              </w:rPr>
            </w:pPr>
          </w:p>
        </w:tc>
        <w:tc>
          <w:tcPr>
            <w:tcW w:w="4572" w:type="dxa"/>
            <w:tcBorders>
              <w:top w:val="nil"/>
              <w:left w:val="nil"/>
              <w:bottom w:val="nil"/>
              <w:right w:val="nil"/>
            </w:tcBorders>
            <w:shd w:val="clear" w:color="000000" w:fill="FFFFFF"/>
          </w:tcPr>
          <w:p w:rsidR="00B40DA7" w:rsidRPr="00A413D6" w:rsidRDefault="00B40DA7" w:rsidP="00A413D6">
            <w:pPr>
              <w:autoSpaceDE w:val="0"/>
              <w:autoSpaceDN w:val="0"/>
              <w:adjustRightInd w:val="0"/>
              <w:spacing w:line="340" w:lineRule="atLeast"/>
              <w:rPr>
                <w:b/>
                <w:bCs/>
                <w:sz w:val="24"/>
                <w:szCs w:val="24"/>
              </w:rPr>
            </w:pPr>
            <w:r w:rsidRPr="00A413D6">
              <w:rPr>
                <w:b/>
                <w:bCs/>
                <w:sz w:val="24"/>
                <w:szCs w:val="24"/>
              </w:rPr>
              <w:t>ĐỀ CƯƠNG ÔN TẬP</w:t>
            </w:r>
            <w:r w:rsidR="007E4DAA" w:rsidRPr="00A413D6">
              <w:rPr>
                <w:b/>
                <w:bCs/>
                <w:sz w:val="24"/>
                <w:szCs w:val="24"/>
                <w:lang w:val="en-US"/>
              </w:rPr>
              <w:t xml:space="preserve"> GIỮA KI I</w:t>
            </w:r>
            <w:r w:rsidRPr="00A413D6">
              <w:rPr>
                <w:b/>
                <w:bCs/>
                <w:sz w:val="24"/>
                <w:szCs w:val="24"/>
              </w:rPr>
              <w:t xml:space="preserve"> ĐỊA LÍ</w:t>
            </w:r>
          </w:p>
          <w:p w:rsidR="00B40DA7" w:rsidRPr="00A413D6" w:rsidRDefault="00B40DA7" w:rsidP="00461152">
            <w:pPr>
              <w:autoSpaceDE w:val="0"/>
              <w:autoSpaceDN w:val="0"/>
              <w:adjustRightInd w:val="0"/>
              <w:spacing w:line="340" w:lineRule="atLeast"/>
              <w:jc w:val="center"/>
              <w:rPr>
                <w:b/>
                <w:bCs/>
                <w:sz w:val="24"/>
                <w:szCs w:val="24"/>
                <w:lang w:val="en-US"/>
              </w:rPr>
            </w:pPr>
            <w:r w:rsidRPr="00A413D6">
              <w:rPr>
                <w:b/>
                <w:bCs/>
                <w:sz w:val="24"/>
                <w:szCs w:val="24"/>
              </w:rPr>
              <w:t xml:space="preserve">NĂM HỌC </w:t>
            </w:r>
            <w:r w:rsidR="007E4DAA" w:rsidRPr="00A413D6">
              <w:rPr>
                <w:b/>
                <w:bCs/>
                <w:sz w:val="24"/>
                <w:szCs w:val="24"/>
                <w:lang w:val="en-US"/>
              </w:rPr>
              <w:t>2021- 2022</w:t>
            </w:r>
          </w:p>
          <w:p w:rsidR="00B40DA7" w:rsidRPr="00A413D6" w:rsidRDefault="00B40DA7" w:rsidP="00461152">
            <w:pPr>
              <w:tabs>
                <w:tab w:val="left" w:pos="851"/>
              </w:tabs>
              <w:autoSpaceDE w:val="0"/>
              <w:autoSpaceDN w:val="0"/>
              <w:adjustRightInd w:val="0"/>
              <w:jc w:val="center"/>
              <w:rPr>
                <w:b/>
                <w:bCs/>
              </w:rPr>
            </w:pPr>
            <w:r w:rsidRPr="00A413D6">
              <w:rPr>
                <w:b/>
                <w:bCs/>
                <w:sz w:val="24"/>
                <w:szCs w:val="24"/>
              </w:rPr>
              <w:t>MÔN: Địa lý 9</w:t>
            </w:r>
          </w:p>
        </w:tc>
      </w:tr>
    </w:tbl>
    <w:p w:rsidR="00B40DA7" w:rsidRPr="00A64AB9" w:rsidRDefault="007F4E20" w:rsidP="005145CF">
      <w:pPr>
        <w:rPr>
          <w:b/>
          <w:szCs w:val="28"/>
        </w:rPr>
      </w:pPr>
      <w:r w:rsidRPr="00A64AB9">
        <w:rPr>
          <w:b/>
          <w:szCs w:val="28"/>
        </w:rPr>
        <w:t>A. PHẦN LÍ THUYẾT</w:t>
      </w:r>
    </w:p>
    <w:p w:rsidR="005145CF" w:rsidRPr="00A64AB9" w:rsidRDefault="005145CF" w:rsidP="005145CF">
      <w:pPr>
        <w:rPr>
          <w:szCs w:val="28"/>
        </w:rPr>
      </w:pPr>
      <w:r w:rsidRPr="005145CF">
        <w:rPr>
          <w:szCs w:val="28"/>
        </w:rPr>
        <w:t xml:space="preserve">I. Phần địa lí dân cư và địa lí </w:t>
      </w:r>
      <w:r w:rsidR="007E4DAA">
        <w:rPr>
          <w:szCs w:val="28"/>
          <w:lang w:val="en-US"/>
        </w:rPr>
        <w:t xml:space="preserve"> ngành </w:t>
      </w:r>
      <w:r w:rsidRPr="005145CF">
        <w:rPr>
          <w:szCs w:val="28"/>
        </w:rPr>
        <w:t>kinh tế:</w:t>
      </w:r>
    </w:p>
    <w:p w:rsidR="00B44F4C" w:rsidRPr="00CF7D64" w:rsidRDefault="00B44F4C" w:rsidP="00B44F4C">
      <w:pPr>
        <w:widowControl w:val="0"/>
        <w:tabs>
          <w:tab w:val="left" w:pos="397"/>
        </w:tabs>
        <w:spacing w:after="0" w:line="240" w:lineRule="auto"/>
        <w:rPr>
          <w:b/>
          <w:noProof/>
          <w:spacing w:val="-6"/>
          <w:szCs w:val="28"/>
          <w:lang w:val="nl-NL"/>
        </w:rPr>
      </w:pPr>
      <w:r>
        <w:rPr>
          <w:b/>
          <w:noProof/>
          <w:spacing w:val="-6"/>
          <w:szCs w:val="28"/>
          <w:lang w:val="nl-NL"/>
        </w:rPr>
        <w:t>1</w:t>
      </w:r>
      <w:r w:rsidRPr="00CF7D64">
        <w:rPr>
          <w:b/>
          <w:noProof/>
          <w:spacing w:val="-6"/>
          <w:szCs w:val="28"/>
          <w:lang w:val="nl-NL"/>
        </w:rPr>
        <w:t>. Đô thị hóa</w:t>
      </w:r>
    </w:p>
    <w:p w:rsidR="00B44F4C" w:rsidRPr="00A413D6" w:rsidRDefault="00B44F4C" w:rsidP="00B44F4C">
      <w:pPr>
        <w:widowControl w:val="0"/>
        <w:tabs>
          <w:tab w:val="left" w:pos="0"/>
        </w:tabs>
        <w:spacing w:after="0" w:line="240" w:lineRule="auto"/>
        <w:rPr>
          <w:rFonts w:eastAsia="SimSun"/>
          <w:bCs/>
          <w:iCs/>
          <w:spacing w:val="-6"/>
          <w:szCs w:val="28"/>
          <w:lang w:val="nl-NL"/>
        </w:rPr>
      </w:pPr>
      <w:r w:rsidRPr="00A413D6">
        <w:rPr>
          <w:rFonts w:eastAsia="SimSun"/>
          <w:bCs/>
          <w:iCs/>
          <w:spacing w:val="-6"/>
          <w:szCs w:val="28"/>
          <w:lang w:val="nl-NL"/>
        </w:rPr>
        <w:t>a. Đặc điểm</w:t>
      </w:r>
    </w:p>
    <w:p w:rsidR="00B44F4C" w:rsidRPr="00CF7D64" w:rsidRDefault="00B44F4C" w:rsidP="00B44F4C">
      <w:pPr>
        <w:widowControl w:val="0"/>
        <w:tabs>
          <w:tab w:val="left" w:pos="0"/>
        </w:tabs>
        <w:spacing w:after="0" w:line="240" w:lineRule="auto"/>
        <w:rPr>
          <w:rFonts w:eastAsia="SimSun"/>
          <w:iCs/>
          <w:spacing w:val="-6"/>
          <w:szCs w:val="28"/>
          <w:lang w:val="nl-NL"/>
        </w:rPr>
      </w:pPr>
      <w:r w:rsidRPr="00CF7D64">
        <w:rPr>
          <w:rFonts w:eastAsia="SimSun"/>
          <w:iCs/>
          <w:spacing w:val="-6"/>
          <w:szCs w:val="28"/>
          <w:lang w:val="nl-NL"/>
        </w:rPr>
        <w:t>- Quá trình đô thị hoá ở nước ta diễn ra chậm chạp, trình độ đô thị hoá thấp</w:t>
      </w:r>
    </w:p>
    <w:p w:rsidR="00B44F4C" w:rsidRPr="00CF7D64" w:rsidRDefault="00B44F4C" w:rsidP="00B44F4C">
      <w:pPr>
        <w:widowControl w:val="0"/>
        <w:tabs>
          <w:tab w:val="left" w:pos="0"/>
        </w:tabs>
        <w:spacing w:after="0" w:line="240" w:lineRule="auto"/>
        <w:rPr>
          <w:rFonts w:eastAsia="Calibri"/>
          <w:iCs/>
          <w:spacing w:val="-6"/>
          <w:szCs w:val="28"/>
          <w:lang w:val="nl-NL"/>
        </w:rPr>
      </w:pPr>
      <w:r w:rsidRPr="00CF7D64">
        <w:rPr>
          <w:rFonts w:eastAsia="Calibri"/>
          <w:iCs/>
          <w:spacing w:val="-6"/>
          <w:szCs w:val="28"/>
          <w:lang w:val="nl-NL"/>
        </w:rPr>
        <w:t>- Tỉ lệ dân thành thị tăng</w:t>
      </w:r>
    </w:p>
    <w:p w:rsidR="00B44F4C" w:rsidRPr="00F7209D" w:rsidRDefault="00B44F4C" w:rsidP="00B44F4C">
      <w:pPr>
        <w:widowControl w:val="0"/>
        <w:tabs>
          <w:tab w:val="left" w:pos="0"/>
        </w:tabs>
        <w:spacing w:after="0" w:line="240" w:lineRule="auto"/>
        <w:rPr>
          <w:rFonts w:eastAsia="Calibri"/>
          <w:iCs/>
          <w:spacing w:val="-6"/>
          <w:szCs w:val="28"/>
          <w:lang w:val="nl-NL"/>
        </w:rPr>
      </w:pPr>
      <w:r w:rsidRPr="00CF7D64">
        <w:rPr>
          <w:rFonts w:eastAsia="Calibri"/>
          <w:iCs/>
          <w:spacing w:val="-6"/>
          <w:szCs w:val="28"/>
          <w:lang w:val="nl-NL"/>
        </w:rPr>
        <w:t>- Phân bố đô thị không đồng đều giữa các vùng</w:t>
      </w:r>
    </w:p>
    <w:p w:rsidR="00B44F4C" w:rsidRPr="00CF7D64" w:rsidRDefault="00B44F4C" w:rsidP="00B44F4C">
      <w:pPr>
        <w:widowControl w:val="0"/>
        <w:tabs>
          <w:tab w:val="left" w:pos="397"/>
        </w:tabs>
        <w:spacing w:after="0" w:line="240" w:lineRule="auto"/>
        <w:rPr>
          <w:rFonts w:eastAsia="Calibri"/>
          <w:spacing w:val="-6"/>
          <w:szCs w:val="28"/>
          <w:lang w:val="nl-NL"/>
        </w:rPr>
      </w:pPr>
      <w:r w:rsidRPr="00CF7D64">
        <w:rPr>
          <w:rFonts w:eastAsia="Calibri"/>
          <w:spacing w:val="-6"/>
          <w:szCs w:val="28"/>
          <w:lang w:val="nl-NL"/>
        </w:rPr>
        <w:t xml:space="preserve">Mạng lưới đô thị của nước được </w:t>
      </w:r>
      <w:r>
        <w:rPr>
          <w:rFonts w:eastAsia="Calibri"/>
          <w:spacing w:val="-6"/>
          <w:szCs w:val="28"/>
          <w:lang w:val="nl-NL"/>
        </w:rPr>
        <w:t>mở rộngnhưng chủ yếu thuộc loại vừa và nhỏ</w:t>
      </w:r>
      <w:r w:rsidRPr="00CF7D64">
        <w:rPr>
          <w:rFonts w:eastAsia="Calibri"/>
          <w:spacing w:val="-6"/>
          <w:szCs w:val="28"/>
          <w:lang w:val="nl-NL"/>
        </w:rPr>
        <w:t xml:space="preserve"> trong đó có 2 đô thị loại đặc biệt (Hà Nội, Tp. Hồ Chí Minh)</w:t>
      </w:r>
    </w:p>
    <w:p w:rsidR="00B44F4C" w:rsidRPr="00A413D6" w:rsidRDefault="00B44F4C" w:rsidP="00B44F4C">
      <w:pPr>
        <w:widowControl w:val="0"/>
        <w:spacing w:after="0" w:line="240" w:lineRule="auto"/>
        <w:rPr>
          <w:rFonts w:eastAsia="Calibri"/>
          <w:spacing w:val="-6"/>
          <w:szCs w:val="28"/>
          <w:lang w:val="nl-NL"/>
        </w:rPr>
      </w:pPr>
      <w:r w:rsidRPr="00A413D6">
        <w:rPr>
          <w:rFonts w:eastAsia="Calibri"/>
          <w:spacing w:val="-6"/>
          <w:szCs w:val="28"/>
          <w:lang w:val="nl-NL"/>
        </w:rPr>
        <w:t>b</w:t>
      </w:r>
      <w:r w:rsidRPr="00A413D6">
        <w:rPr>
          <w:rFonts w:eastAsia="Calibri"/>
          <w:spacing w:val="-6"/>
          <w:szCs w:val="28"/>
          <w:lang w:val="nl-NL"/>
        </w:rPr>
        <w:t>. Ảnh hưởng của đô thị hoá đến phát triển KT-XH</w:t>
      </w:r>
    </w:p>
    <w:p w:rsidR="00B44F4C" w:rsidRPr="00CF7D64" w:rsidRDefault="00B44F4C" w:rsidP="00B44F4C">
      <w:pPr>
        <w:widowControl w:val="0"/>
        <w:spacing w:after="0" w:line="240" w:lineRule="auto"/>
        <w:rPr>
          <w:rFonts w:eastAsia="Calibri"/>
          <w:b/>
          <w:i/>
          <w:spacing w:val="-6"/>
          <w:szCs w:val="28"/>
          <w:lang w:val="nl-NL"/>
        </w:rPr>
      </w:pPr>
      <w:r w:rsidRPr="00CF7D64">
        <w:rPr>
          <w:rFonts w:eastAsia="Calibri"/>
          <w:b/>
          <w:spacing w:val="-6"/>
          <w:szCs w:val="28"/>
          <w:lang w:val="nl-NL"/>
        </w:rPr>
        <w:t>- Tích cực:</w:t>
      </w:r>
    </w:p>
    <w:p w:rsidR="00B44F4C" w:rsidRPr="00CF7D64" w:rsidRDefault="00B44F4C" w:rsidP="00B44F4C">
      <w:pPr>
        <w:widowControl w:val="0"/>
        <w:tabs>
          <w:tab w:val="left" w:pos="397"/>
        </w:tabs>
        <w:spacing w:after="0" w:line="240" w:lineRule="auto"/>
        <w:rPr>
          <w:rFonts w:eastAsia="Calibri"/>
          <w:spacing w:val="-6"/>
          <w:szCs w:val="28"/>
          <w:lang w:val="nl-NL"/>
        </w:rPr>
      </w:pPr>
      <w:bookmarkStart w:id="0" w:name="_GoBack"/>
      <w:r w:rsidRPr="00CF7D64">
        <w:rPr>
          <w:rFonts w:eastAsia="Calibri"/>
          <w:spacing w:val="-6"/>
          <w:szCs w:val="28"/>
          <w:lang w:val="nl-NL"/>
        </w:rPr>
        <w:t>+ Tác động mạnh tới quá trình chuyển dịch cơ cấu kinh tế của đất nước và địa phương</w:t>
      </w:r>
    </w:p>
    <w:bookmarkEnd w:id="0"/>
    <w:p w:rsidR="00B44F4C" w:rsidRPr="00CF7D64" w:rsidRDefault="00B44F4C" w:rsidP="00B44F4C">
      <w:pPr>
        <w:widowControl w:val="0"/>
        <w:spacing w:after="0" w:line="240" w:lineRule="auto"/>
        <w:rPr>
          <w:rFonts w:eastAsia="Calibri"/>
          <w:spacing w:val="-6"/>
          <w:szCs w:val="28"/>
          <w:lang w:val="nl-NL"/>
        </w:rPr>
      </w:pPr>
      <w:r w:rsidRPr="00CF7D64">
        <w:rPr>
          <w:rFonts w:eastAsia="Calibri"/>
          <w:spacing w:val="-6"/>
          <w:szCs w:val="28"/>
          <w:lang w:val="nl-NL"/>
        </w:rPr>
        <w:t>+ Đô thị có ảnh hưởng rất lớn đến phát triển KT-XH của các địa phương, các vùng trong nước. .</w:t>
      </w:r>
    </w:p>
    <w:p w:rsidR="00B44F4C" w:rsidRPr="00CF7D64" w:rsidRDefault="00B44F4C" w:rsidP="00B44F4C">
      <w:pPr>
        <w:widowControl w:val="0"/>
        <w:tabs>
          <w:tab w:val="left" w:pos="397"/>
        </w:tabs>
        <w:spacing w:after="0" w:line="240" w:lineRule="auto"/>
        <w:rPr>
          <w:rFonts w:eastAsia="Calibri"/>
          <w:spacing w:val="-6"/>
          <w:szCs w:val="28"/>
          <w:lang w:val="nl-NL"/>
        </w:rPr>
      </w:pPr>
      <w:r w:rsidRPr="00CF7D64">
        <w:rPr>
          <w:rFonts w:eastAsia="Calibri"/>
          <w:spacing w:val="-6"/>
          <w:szCs w:val="28"/>
          <w:lang w:val="nl-NL"/>
        </w:rPr>
        <w:t>+ Các thành phố, thị xã là các thị trường tiêu thụ sản phẩm hàng hoá lớn và đa dạng, là nơi sử dụng đông đảo lực lượng lao động có trình độ chuyên môn kĩ thuật; có cơ sở vật chất kỹ thuật hiện đại, có sức hút đối với đầu tư trong nước và ngoài nước, tạo động lực phát triển kinh tế.</w:t>
      </w:r>
    </w:p>
    <w:p w:rsidR="00B44F4C" w:rsidRPr="00CF7D64" w:rsidRDefault="00B44F4C" w:rsidP="00B44F4C">
      <w:pPr>
        <w:widowControl w:val="0"/>
        <w:spacing w:after="0" w:line="240" w:lineRule="auto"/>
        <w:rPr>
          <w:rFonts w:eastAsia="Calibri"/>
          <w:szCs w:val="28"/>
          <w:lang w:val="nl-NL"/>
        </w:rPr>
      </w:pPr>
      <w:r w:rsidRPr="00CF7D64">
        <w:rPr>
          <w:rFonts w:eastAsia="Calibri"/>
          <w:szCs w:val="28"/>
          <w:lang w:val="nl-NL"/>
        </w:rPr>
        <w:t>+ Tạo nhiều việc làm và thu nhập cho người lao động.</w:t>
      </w:r>
    </w:p>
    <w:p w:rsidR="00B44F4C" w:rsidRPr="00CF7D64" w:rsidRDefault="00B44F4C" w:rsidP="00B44F4C">
      <w:pPr>
        <w:widowControl w:val="0"/>
        <w:spacing w:after="0" w:line="240" w:lineRule="auto"/>
        <w:rPr>
          <w:rFonts w:eastAsia="Calibri"/>
          <w:bCs/>
          <w:iCs/>
          <w:szCs w:val="28"/>
          <w:lang w:val="nl-NL"/>
        </w:rPr>
      </w:pPr>
      <w:r w:rsidRPr="00CF7D64">
        <w:rPr>
          <w:rFonts w:eastAsia="Calibri"/>
          <w:b/>
          <w:bCs/>
          <w:szCs w:val="28"/>
          <w:lang w:val="nl-NL"/>
        </w:rPr>
        <w:t>- Tác động tiêu cực:</w:t>
      </w:r>
      <w:r w:rsidRPr="00CF7D64">
        <w:rPr>
          <w:rFonts w:eastAsia="Calibri"/>
          <w:szCs w:val="28"/>
          <w:lang w:val="nl-NL"/>
        </w:rPr>
        <w:t xml:space="preserve"> </w:t>
      </w:r>
      <w:r w:rsidRPr="00CF7D64">
        <w:rPr>
          <w:rFonts w:eastAsia="Calibri"/>
          <w:bCs/>
          <w:iCs/>
          <w:szCs w:val="28"/>
          <w:lang w:val="nl-NL"/>
        </w:rPr>
        <w:t>ô nhiễm môi trường, trật tự xã hội, việc làm, nhà ở…</w:t>
      </w:r>
    </w:p>
    <w:p w:rsidR="00B44F4C" w:rsidRDefault="00B44F4C" w:rsidP="00B44F4C">
      <w:pPr>
        <w:spacing w:after="0" w:line="240" w:lineRule="auto"/>
        <w:rPr>
          <w:rFonts w:eastAsia="Times New Roman" w:cs="Times New Roman"/>
          <w:szCs w:val="28"/>
          <w:lang w:val="en-US"/>
        </w:rPr>
      </w:pPr>
    </w:p>
    <w:p w:rsidR="00B44F4C" w:rsidRPr="00B44F4C" w:rsidRDefault="00B44F4C" w:rsidP="00B44F4C">
      <w:pPr>
        <w:spacing w:after="0" w:line="240" w:lineRule="auto"/>
        <w:rPr>
          <w:rFonts w:eastAsia="Times New Roman" w:cs="Times New Roman"/>
          <w:szCs w:val="28"/>
          <w:lang w:val="en-US"/>
        </w:rPr>
      </w:pPr>
      <w:r>
        <w:rPr>
          <w:rFonts w:eastAsia="Times New Roman" w:cs="Times New Roman"/>
          <w:szCs w:val="28"/>
          <w:lang w:val="en-US"/>
        </w:rPr>
        <w:t xml:space="preserve">2. </w:t>
      </w:r>
      <w:r w:rsidR="007E4DAA">
        <w:rPr>
          <w:rFonts w:eastAsia="Times New Roman" w:cs="Times New Roman"/>
          <w:szCs w:val="28"/>
          <w:lang w:val="en-US"/>
        </w:rPr>
        <w:t>N</w:t>
      </w:r>
      <w:r w:rsidRPr="00B44F4C">
        <w:rPr>
          <w:rFonts w:eastAsia="Times New Roman" w:cs="Times New Roman"/>
          <w:szCs w:val="28"/>
          <w:lang w:val="en-US"/>
        </w:rPr>
        <w:t xml:space="preserve">hững điều kiện thuận lợi ở nước ta để phát triển </w:t>
      </w:r>
      <w:proofErr w:type="gramStart"/>
      <w:r w:rsidRPr="00B44F4C">
        <w:rPr>
          <w:rFonts w:eastAsia="Times New Roman" w:cs="Times New Roman"/>
          <w:szCs w:val="28"/>
          <w:lang w:val="en-US"/>
        </w:rPr>
        <w:t>công  nghiệp</w:t>
      </w:r>
      <w:proofErr w:type="gramEnd"/>
      <w:r w:rsidRPr="00B44F4C">
        <w:rPr>
          <w:rFonts w:eastAsia="Times New Roman" w:cs="Times New Roman"/>
          <w:szCs w:val="28"/>
          <w:lang w:val="en-US"/>
        </w:rPr>
        <w:t xml:space="preserve"> điện.</w:t>
      </w:r>
    </w:p>
    <w:p w:rsidR="00B44F4C" w:rsidRPr="00B44F4C" w:rsidRDefault="00B44F4C" w:rsidP="00B44F4C">
      <w:pPr>
        <w:spacing w:after="0" w:line="240" w:lineRule="auto"/>
        <w:jc w:val="both"/>
        <w:rPr>
          <w:rFonts w:eastAsia="Times New Roman" w:cs="Times New Roman"/>
          <w:b/>
          <w:szCs w:val="28"/>
          <w:lang w:val="nl-NL"/>
        </w:rPr>
      </w:pPr>
    </w:p>
    <w:p w:rsidR="00B44F4C" w:rsidRPr="00B44F4C" w:rsidRDefault="00B44F4C" w:rsidP="00B44F4C">
      <w:pPr>
        <w:jc w:val="both"/>
        <w:rPr>
          <w:rFonts w:eastAsia="Calibri" w:cs="Times New Roman"/>
          <w:szCs w:val="28"/>
          <w:lang w:val="nl-NL"/>
        </w:rPr>
      </w:pPr>
      <w:r>
        <w:rPr>
          <w:rFonts w:eastAsia="Calibri" w:cs="Times New Roman"/>
          <w:szCs w:val="28"/>
          <w:lang w:val="nl-NL"/>
        </w:rPr>
        <w:t xml:space="preserve">- </w:t>
      </w:r>
      <w:r w:rsidRPr="00B44F4C">
        <w:rPr>
          <w:rFonts w:eastAsia="Calibri" w:cs="Times New Roman"/>
          <w:szCs w:val="28"/>
          <w:lang w:val="nl-NL"/>
        </w:rPr>
        <w:t>cơ cấu gồm thủy điện và nhiệt điện.</w:t>
      </w:r>
    </w:p>
    <w:p w:rsidR="00B44F4C" w:rsidRPr="00B44F4C" w:rsidRDefault="00B44F4C" w:rsidP="00B44F4C">
      <w:pPr>
        <w:jc w:val="both"/>
        <w:rPr>
          <w:rFonts w:eastAsia="Times New Roman" w:cs="Times New Roman"/>
          <w:szCs w:val="28"/>
          <w:lang w:val="en-US"/>
        </w:rPr>
      </w:pPr>
      <w:r w:rsidRPr="00B44F4C">
        <w:rPr>
          <w:rFonts w:eastAsia="Times New Roman" w:cs="Times New Roman"/>
          <w:szCs w:val="28"/>
          <w:lang w:val="en-US"/>
        </w:rPr>
        <w:t xml:space="preserve"> </w:t>
      </w:r>
      <w:r>
        <w:rPr>
          <w:rFonts w:eastAsia="Times New Roman" w:cs="Times New Roman"/>
          <w:szCs w:val="28"/>
          <w:lang w:val="en-US"/>
        </w:rPr>
        <w:t xml:space="preserve">- </w:t>
      </w:r>
      <w:r w:rsidRPr="00B44F4C">
        <w:rPr>
          <w:rFonts w:eastAsia="Times New Roman" w:cs="Times New Roman"/>
          <w:szCs w:val="28"/>
          <w:lang w:val="en-US"/>
        </w:rPr>
        <w:t xml:space="preserve">Tài nguyên than phong phú </w:t>
      </w:r>
    </w:p>
    <w:p w:rsidR="00B44F4C" w:rsidRPr="00B44F4C" w:rsidRDefault="00B44F4C" w:rsidP="00B44F4C">
      <w:pPr>
        <w:spacing w:after="0" w:line="240" w:lineRule="auto"/>
        <w:jc w:val="both"/>
        <w:rPr>
          <w:rFonts w:eastAsia="Times New Roman" w:cs="Times New Roman"/>
          <w:szCs w:val="28"/>
          <w:lang w:val="en-US"/>
        </w:rPr>
      </w:pPr>
      <w:r w:rsidRPr="00B44F4C">
        <w:rPr>
          <w:rFonts w:eastAsia="Times New Roman" w:cs="Times New Roman"/>
          <w:szCs w:val="28"/>
          <w:lang w:val="en-US"/>
        </w:rPr>
        <w:t>- Thuỷ năng sông suối dồi dào</w:t>
      </w:r>
    </w:p>
    <w:p w:rsidR="00B44F4C" w:rsidRPr="00B44F4C" w:rsidRDefault="00B44F4C" w:rsidP="00B44F4C">
      <w:pPr>
        <w:widowControl w:val="0"/>
        <w:tabs>
          <w:tab w:val="left" w:pos="720"/>
          <w:tab w:val="left" w:pos="1800"/>
          <w:tab w:val="left" w:pos="3066"/>
          <w:tab w:val="left" w:pos="6000"/>
          <w:tab w:val="left" w:pos="6271"/>
        </w:tabs>
        <w:spacing w:after="0" w:line="240" w:lineRule="auto"/>
        <w:jc w:val="both"/>
        <w:rPr>
          <w:rFonts w:eastAsia="Calibri" w:cs="Times New Roman"/>
          <w:b/>
          <w:szCs w:val="28"/>
          <w:lang w:val="nl-NL"/>
        </w:rPr>
      </w:pPr>
      <w:r w:rsidRPr="00B44F4C">
        <w:rPr>
          <w:rFonts w:eastAsia="Times New Roman" w:cs="Times New Roman"/>
          <w:szCs w:val="28"/>
          <w:lang w:val="en-US"/>
        </w:rPr>
        <w:t>- Có nhiều mỏ khí đốt</w:t>
      </w:r>
    </w:p>
    <w:p w:rsidR="00B44F4C" w:rsidRPr="00B44F4C" w:rsidRDefault="00B44F4C" w:rsidP="00B44F4C">
      <w:pPr>
        <w:widowControl w:val="0"/>
        <w:spacing w:after="0" w:line="240" w:lineRule="auto"/>
        <w:jc w:val="both"/>
        <w:rPr>
          <w:rFonts w:eastAsia="VNI-Times" w:cs="Times New Roman"/>
          <w:spacing w:val="-6"/>
          <w:szCs w:val="28"/>
          <w:lang w:val="nl-NL"/>
        </w:rPr>
      </w:pPr>
      <w:r w:rsidRPr="00B44F4C">
        <w:rPr>
          <w:rFonts w:eastAsia="Calibri" w:cs="Times New Roman"/>
          <w:szCs w:val="28"/>
          <w:lang w:val="nl-NL"/>
        </w:rPr>
        <w:tab/>
        <w:t>Thủy điện: Tiềm năng lớn, khoảng 30 triệ</w:t>
      </w:r>
      <w:r>
        <w:rPr>
          <w:rFonts w:eastAsia="Calibri" w:cs="Times New Roman"/>
          <w:szCs w:val="28"/>
          <w:lang w:val="nl-NL"/>
        </w:rPr>
        <w:t xml:space="preserve">u kw </w:t>
      </w:r>
      <w:r w:rsidRPr="00B44F4C">
        <w:rPr>
          <w:rFonts w:eastAsia="Calibri" w:cs="Times New Roman"/>
          <w:szCs w:val="28"/>
          <w:lang w:val="nl-NL"/>
        </w:rPr>
        <w:t>.</w:t>
      </w:r>
      <w:r w:rsidRPr="00B44F4C">
        <w:rPr>
          <w:rFonts w:eastAsia="VNI-Times" w:cs="Times New Roman"/>
          <w:spacing w:val="-6"/>
          <w:szCs w:val="28"/>
          <w:lang w:val="nl-NL"/>
        </w:rPr>
        <w:t xml:space="preserve"> Các nhà máy thủy điện công suất lớn đang hoạt động: Hòa Bình (1920 MW), Yaly (700MW), Trị An (400 MW)…Nhiều nhà máy đang triển khai xây dựng: Sơn La (2400 MW), Tuyên Quang (342 MW)...</w:t>
      </w:r>
    </w:p>
    <w:p w:rsidR="00B44F4C" w:rsidRPr="00B44F4C" w:rsidRDefault="00B44F4C" w:rsidP="00B44F4C">
      <w:pPr>
        <w:widowControl w:val="0"/>
        <w:tabs>
          <w:tab w:val="left" w:pos="720"/>
          <w:tab w:val="left" w:pos="1800"/>
          <w:tab w:val="left" w:pos="3066"/>
          <w:tab w:val="left" w:pos="6000"/>
          <w:tab w:val="left" w:pos="6271"/>
        </w:tabs>
        <w:spacing w:after="0" w:line="240" w:lineRule="auto"/>
        <w:jc w:val="both"/>
        <w:rPr>
          <w:rFonts w:eastAsia="Calibri" w:cs="Times New Roman"/>
          <w:szCs w:val="28"/>
          <w:lang w:val="nl-NL"/>
        </w:rPr>
      </w:pPr>
      <w:r w:rsidRPr="00B44F4C">
        <w:rPr>
          <w:rFonts w:eastAsia="Calibri" w:cs="Times New Roman"/>
          <w:szCs w:val="28"/>
          <w:lang w:val="nl-NL"/>
        </w:rPr>
        <w:tab/>
        <w:t xml:space="preserve"> Nhiệt điện: Nguồn nhiên liệu dồi dào: than, dầu, khí, sức gió…;</w:t>
      </w:r>
      <w:r w:rsidRPr="00B44F4C">
        <w:rPr>
          <w:rFonts w:eastAsia="VNI-Times" w:cs="Times New Roman"/>
          <w:spacing w:val="-6"/>
          <w:szCs w:val="28"/>
          <w:lang w:val="nl-NL"/>
        </w:rPr>
        <w:t xml:space="preserve"> Các nhà máy nhiệt điện phía bắc chủ yếu dựa vào than ở Quảng Ninh; miền Trung  và miền Nam chủ yếu dựa vào dầu, khí.</w:t>
      </w:r>
      <w:r w:rsidRPr="00B44F4C">
        <w:rPr>
          <w:rFonts w:eastAsia="Calibri" w:cs="Times New Roman"/>
          <w:szCs w:val="28"/>
          <w:lang w:val="nl-NL"/>
        </w:rPr>
        <w:t xml:space="preserve">  Các nhà máy nhiệt điện có công suất lớn đã đi vào hoạt động : Phả Lại 1, 2 (440 và 600 MW), Ninh Bình (100 MW), Phú Mỹ 1, 2, 3, 4 (4164 MW), Bà Rịa (411 MW), Thủ Đức…</w:t>
      </w:r>
    </w:p>
    <w:p w:rsidR="00B44F4C" w:rsidRDefault="007E4DAA" w:rsidP="005145CF">
      <w:pPr>
        <w:rPr>
          <w:b/>
          <w:szCs w:val="28"/>
          <w:lang w:val="en-US"/>
        </w:rPr>
      </w:pPr>
      <w:r>
        <w:rPr>
          <w:b/>
          <w:szCs w:val="28"/>
          <w:lang w:val="en-US"/>
        </w:rPr>
        <w:lastRenderedPageBreak/>
        <w:t xml:space="preserve">3. </w:t>
      </w:r>
      <w:r w:rsidRPr="007E4DAA">
        <w:rPr>
          <w:szCs w:val="28"/>
          <w:lang w:val="en-US"/>
        </w:rPr>
        <w:t>Ôn tập đặc điểm phân bố một số loại cây trồng chính của ngành nông nghiệp</w:t>
      </w:r>
      <w:r>
        <w:rPr>
          <w:szCs w:val="28"/>
          <w:lang w:val="en-US"/>
        </w:rPr>
        <w:t>qua Atlat-bản đồ</w:t>
      </w:r>
    </w:p>
    <w:p w:rsidR="005145CF" w:rsidRPr="00A64AB9" w:rsidRDefault="007F4E20" w:rsidP="005145CF">
      <w:pPr>
        <w:rPr>
          <w:b/>
          <w:szCs w:val="28"/>
        </w:rPr>
      </w:pPr>
      <w:r w:rsidRPr="00A64AB9">
        <w:rPr>
          <w:b/>
          <w:szCs w:val="28"/>
        </w:rPr>
        <w:t>B. PHẦN BÀI TẬP:</w:t>
      </w:r>
    </w:p>
    <w:p w:rsidR="007F4E20" w:rsidRPr="00A64AB9" w:rsidRDefault="007F4E20" w:rsidP="005145CF">
      <w:pPr>
        <w:rPr>
          <w:szCs w:val="28"/>
        </w:rPr>
      </w:pPr>
      <w:r w:rsidRPr="00A64AB9">
        <w:rPr>
          <w:szCs w:val="28"/>
        </w:rPr>
        <w:t>- Ôn lại cách vẽ biểu đồ</w:t>
      </w:r>
      <w:r w:rsidR="00FD1016">
        <w:rPr>
          <w:szCs w:val="28"/>
        </w:rPr>
        <w:t xml:space="preserve"> </w:t>
      </w:r>
      <w:r w:rsidR="005D415B">
        <w:rPr>
          <w:szCs w:val="28"/>
          <w:lang w:val="en-US"/>
        </w:rPr>
        <w:t>hình tròn</w:t>
      </w:r>
      <w:r w:rsidRPr="00A64AB9">
        <w:rPr>
          <w:szCs w:val="28"/>
        </w:rPr>
        <w:t>.</w:t>
      </w:r>
    </w:p>
    <w:p w:rsidR="005145CF" w:rsidRPr="005145CF" w:rsidRDefault="005145CF" w:rsidP="005145CF">
      <w:pPr>
        <w:rPr>
          <w:b/>
          <w:szCs w:val="28"/>
        </w:rPr>
      </w:pPr>
    </w:p>
    <w:sectPr w:rsidR="005145CF" w:rsidRPr="005145CF" w:rsidSect="00CF4193">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B9F"/>
    <w:multiLevelType w:val="hybridMultilevel"/>
    <w:tmpl w:val="15F4B58C"/>
    <w:lvl w:ilvl="0" w:tplc="528405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145CF"/>
    <w:rsid w:val="000116A9"/>
    <w:rsid w:val="001D6D79"/>
    <w:rsid w:val="00214409"/>
    <w:rsid w:val="0023770C"/>
    <w:rsid w:val="00281113"/>
    <w:rsid w:val="003401E7"/>
    <w:rsid w:val="003E777F"/>
    <w:rsid w:val="004E183C"/>
    <w:rsid w:val="004F1AB9"/>
    <w:rsid w:val="005145CF"/>
    <w:rsid w:val="005D415B"/>
    <w:rsid w:val="007C2BD5"/>
    <w:rsid w:val="007E4DAA"/>
    <w:rsid w:val="007F4E20"/>
    <w:rsid w:val="009E29A9"/>
    <w:rsid w:val="00A413D6"/>
    <w:rsid w:val="00A64AB9"/>
    <w:rsid w:val="00AA7220"/>
    <w:rsid w:val="00B40DA7"/>
    <w:rsid w:val="00B44F4C"/>
    <w:rsid w:val="00CF4193"/>
    <w:rsid w:val="00D02703"/>
    <w:rsid w:val="00D938C3"/>
    <w:rsid w:val="00DB45C4"/>
    <w:rsid w:val="00EF5E9D"/>
    <w:rsid w:val="00F4781A"/>
    <w:rsid w:val="00F756B1"/>
    <w:rsid w:val="00FD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77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CF"/>
    <w:rPr>
      <w:rFonts w:ascii="Tahoma" w:hAnsi="Tahoma" w:cs="Tahoma"/>
      <w:sz w:val="16"/>
      <w:szCs w:val="16"/>
      <w:lang w:val="vi-VN"/>
    </w:rPr>
  </w:style>
  <w:style w:type="paragraph" w:styleId="ListParagraph">
    <w:name w:val="List Paragraph"/>
    <w:basedOn w:val="Normal"/>
    <w:uiPriority w:val="34"/>
    <w:qFormat/>
    <w:rsid w:val="00B44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2020-12-19T14:48:00Z</dcterms:created>
  <dcterms:modified xsi:type="dcterms:W3CDTF">2021-10-22T09:15:00Z</dcterms:modified>
</cp:coreProperties>
</file>